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СХВАЛЕНО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педагогічною радою,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протокол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____ </w:t>
      </w:r>
      <w:r>
        <w:rPr>
          <w:rFonts w:ascii="Times New Roman" w:hAnsi="Times New Roman" w:cs="Times New Roman" w:eastAsia="Times New Roman"/>
          <w:color w:val="auto"/>
          <w:spacing w:val="0"/>
          <w:position w:val="0"/>
          <w:sz w:val="28"/>
          <w:shd w:fill="auto" w:val="clear"/>
        </w:rPr>
        <w:t xml:space="preserve">від  _______</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ЗАТВЕРДЖЕНО  наказ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_____</w:t>
      </w:r>
      <w:r>
        <w:rPr>
          <w:rFonts w:ascii="Times New Roman" w:hAnsi="Times New Roman" w:cs="Times New Roman" w:eastAsia="Times New Roman"/>
          <w:color w:val="auto"/>
          <w:spacing w:val="0"/>
          <w:position w:val="0"/>
          <w:sz w:val="28"/>
          <w:shd w:fill="auto" w:val="clear"/>
        </w:rPr>
        <w:t xml:space="preserve">від_____</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Директор НВО             І.П.Омельченко </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ПОЛОЖЕННЯ</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 АКАДЕМІЧНУ ДОБРОЧЕСНІСТЬ УЧАСНИКІВ ОСВІТНЬОГО ПРОЦЕСУ</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НАЛИВАЙКІВСЬКОГО НВО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ЗАГАЛЬНООСВІТНЯ ШКОЛА І-ІІ СТУПЕНІВ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ДИТЯЧИЙ САДОК</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І. Загальні положення</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Положення про академічну доброчесність у  Наливайківському НВО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загальноосвітня школа І-ІІ ступенів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дитячий садок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далі - Положення) визначає та закріплює норми, правила етичної поведінки, професійного спілкування між педагогічними працівниками та їх трудової діяльності. </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 </w:t>
      </w:r>
      <w:r>
        <w:rPr>
          <w:rFonts w:ascii="Times New Roman" w:hAnsi="Times New Roman" w:cs="Times New Roman" w:eastAsia="Times New Roman"/>
          <w:color w:val="auto"/>
          <w:spacing w:val="0"/>
          <w:position w:val="0"/>
          <w:sz w:val="28"/>
          <w:shd w:fill="auto" w:val="clear"/>
        </w:rPr>
        <w:t xml:space="preserve">Це Положення розроблено на основі Конституції України, Законів України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 освіту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 авторське право і суміжні права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 видавничу справу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Статуту закладу освіти, Правил внутрішнього розпорядку.</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1.3. </w:t>
      </w:r>
      <w:r>
        <w:rPr>
          <w:rFonts w:ascii="Times New Roman" w:hAnsi="Times New Roman" w:cs="Times New Roman" w:eastAsia="Times New Roman"/>
          <w:color w:val="auto"/>
          <w:spacing w:val="0"/>
          <w:position w:val="0"/>
          <w:sz w:val="28"/>
          <w:shd w:fill="auto" w:val="clear"/>
        </w:rPr>
        <w:t xml:space="preserve">Мета Положення полягає у дотриманні високих професійних стандартів в усіх сферах діяльності закладу (освітній та методичній), підтримки особливих взаємовідносин між педагогічними працівниками, запобігання порушенню академічної доброчесності та забезпечення довіри до результатів освітнього процесу та освітньої діяльності.</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1.4. </w:t>
      </w:r>
      <w:r>
        <w:rPr>
          <w:rFonts w:ascii="Times New Roman" w:hAnsi="Times New Roman" w:cs="Times New Roman" w:eastAsia="Times New Roman"/>
          <w:color w:val="auto"/>
          <w:spacing w:val="0"/>
          <w:position w:val="0"/>
          <w:sz w:val="28"/>
          <w:shd w:fill="auto" w:val="clear"/>
        </w:rPr>
        <w:t xml:space="preserve">Норми цього Положення закріплюють етичні принципи та правила, якими мають керуватися педагогічні працівники під час освітнього процесу, упровадження інноваційної діяльності та безпосередньо в ході спілкування (морально-психологічний клімат у колективі).</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1.5. </w:t>
      </w:r>
      <w:r>
        <w:rPr>
          <w:rFonts w:ascii="Times New Roman" w:hAnsi="Times New Roman" w:cs="Times New Roman" w:eastAsia="Times New Roman"/>
          <w:color w:val="auto"/>
          <w:spacing w:val="0"/>
          <w:position w:val="0"/>
          <w:sz w:val="28"/>
          <w:shd w:fill="auto" w:val="clear"/>
        </w:rPr>
        <w:t xml:space="preserve">Дія Положення поширюється на всіх педагогічних працівників закладу освіти та здобувачів освіти. </w:t>
      </w:r>
    </w:p>
    <w:p>
      <w:pPr>
        <w:spacing w:before="0" w:after="0" w:line="240"/>
        <w:ind w:right="0" w:left="0" w:firstLine="70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 </w:t>
      </w:r>
      <w:r>
        <w:rPr>
          <w:rFonts w:ascii="Times New Roman" w:hAnsi="Times New Roman" w:cs="Times New Roman" w:eastAsia="Times New Roman"/>
          <w:color w:val="auto"/>
          <w:spacing w:val="0"/>
          <w:position w:val="0"/>
          <w:sz w:val="28"/>
          <w:shd w:fill="auto" w:val="clear"/>
        </w:rPr>
        <w:t xml:space="preserve">Педагогічні працівники, усвідомлюючи свою відповідальність за неналежне виконання посадових обов’язків, формування сприятливого освітнього середовища та мікроклімату в колективі для забезпечення результативності освітнього процесу, розвитку інтелектуального, особистісного потенціалу, підвищення престижу закладу, зобов’язуються виконувати норми даного Положення.</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 </w:t>
      </w:r>
      <w:r>
        <w:rPr>
          <w:rFonts w:ascii="Times New Roman" w:hAnsi="Times New Roman" w:cs="Times New Roman" w:eastAsia="Times New Roman"/>
          <w:b/>
          <w:color w:val="auto"/>
          <w:spacing w:val="0"/>
          <w:position w:val="0"/>
          <w:sz w:val="28"/>
          <w:shd w:fill="auto" w:val="clear"/>
        </w:rPr>
        <w:t xml:space="preserve">Принципи, норми етики та академічної доброчесності Закладу</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numPr>
          <w:ilvl w:val="0"/>
          <w:numId w:val="13"/>
        </w:numPr>
        <w:tabs>
          <w:tab w:val="left" w:pos="993" w:leader="none"/>
        </w:tabs>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освітньої (творчої) діяльності з метою забезпечення довіри до результатів навчання, попередження порушень освітнього процесу.</w:t>
      </w:r>
    </w:p>
    <w:p>
      <w:pPr>
        <w:numPr>
          <w:ilvl w:val="0"/>
          <w:numId w:val="13"/>
        </w:numPr>
        <w:tabs>
          <w:tab w:val="left" w:pos="993" w:leader="none"/>
        </w:tabs>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Порушеннями академічної доброчесності згідно з </w:t>
      </w:r>
      <w:r>
        <w:rPr>
          <w:rFonts w:ascii="Times New Roman" w:hAnsi="Times New Roman" w:cs="Times New Roman" w:eastAsia="Times New Roman"/>
          <w:b/>
          <w:color w:val="auto"/>
          <w:spacing w:val="0"/>
          <w:position w:val="0"/>
          <w:sz w:val="28"/>
          <w:shd w:fill="auto" w:val="clear"/>
        </w:rPr>
        <w:t xml:space="preserve">ст.42 п. 4 Закону України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Про освіту</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вважається: академічний плагіат, самоплагіат, фабрикація, фальсифікація, списування, обман, хабарництво, необ’єктивне оцінювання.</w:t>
      </w:r>
    </w:p>
    <w:p>
      <w:pPr>
        <w:numPr>
          <w:ilvl w:val="0"/>
          <w:numId w:val="13"/>
        </w:numPr>
        <w:tabs>
          <w:tab w:val="left" w:pos="993" w:leader="none"/>
        </w:tabs>
        <w:spacing w:before="0" w:after="0" w:line="240"/>
        <w:ind w:right="0" w:left="0" w:firstLine="709"/>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Етика та академічна доброчесність забезпечуються:</w:t>
      </w:r>
    </w:p>
    <w:p>
      <w:pPr>
        <w:numPr>
          <w:ilvl w:val="0"/>
          <w:numId w:val="13"/>
        </w:numPr>
        <w:spacing w:before="0" w:after="0" w:line="240"/>
        <w:ind w:right="0" w:left="1068" w:hanging="36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учасниками освітнього процесу шляхом:</w:t>
      </w:r>
    </w:p>
    <w:p>
      <w:pPr>
        <w:numPr>
          <w:ilvl w:val="0"/>
          <w:numId w:val="13"/>
        </w:numPr>
        <w:spacing w:before="0" w:after="0" w:line="240"/>
        <w:ind w:right="0" w:left="1353"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дотримання Конвенції ООН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 права дитини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Конституції, </w:t>
      </w:r>
      <w:r>
        <w:rPr>
          <w:rFonts w:ascii="Times New Roman" w:hAnsi="Times New Roman" w:cs="Times New Roman" w:eastAsia="Times New Roman"/>
          <w:color w:val="800000"/>
          <w:spacing w:val="0"/>
          <w:position w:val="0"/>
          <w:sz w:val="28"/>
          <w:shd w:fill="auto" w:val="clear"/>
        </w:rPr>
        <w:t xml:space="preserve">зак</w:t>
      </w:r>
      <w:r>
        <w:rPr>
          <w:rFonts w:ascii="Times New Roman" w:hAnsi="Times New Roman" w:cs="Times New Roman" w:eastAsia="Times New Roman"/>
          <w:color w:val="auto"/>
          <w:spacing w:val="0"/>
          <w:position w:val="0"/>
          <w:sz w:val="28"/>
          <w:shd w:fill="auto" w:val="clear"/>
        </w:rPr>
        <w:t xml:space="preserve">онів України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 освіту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 загальну середню освіту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 наукову і науково-технічну творчість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 авторське право і суміжні права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 видавничу справу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 запобігання корупції</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Правил внутрішнього трудового розпорядку;</w:t>
      </w:r>
    </w:p>
    <w:p>
      <w:pPr>
        <w:numPr>
          <w:ilvl w:val="0"/>
          <w:numId w:val="13"/>
        </w:numPr>
        <w:spacing w:before="0" w:after="0" w:line="240"/>
        <w:ind w:right="0" w:left="1353"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утвердження позитивного іміджу Закладу, примноження його традицій;</w:t>
      </w:r>
    </w:p>
    <w:p>
      <w:pPr>
        <w:numPr>
          <w:ilvl w:val="0"/>
          <w:numId w:val="13"/>
        </w:numPr>
        <w:spacing w:before="0" w:after="0" w:line="240"/>
        <w:ind w:right="0" w:left="1353"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дотримання етичних норм спілкування на засадах партнерства, взаємоповаги, толерантності стосунків;</w:t>
      </w:r>
    </w:p>
    <w:p>
      <w:pPr>
        <w:numPr>
          <w:ilvl w:val="0"/>
          <w:numId w:val="13"/>
        </w:numPr>
        <w:spacing w:before="0" w:after="0" w:line="240"/>
        <w:ind w:right="0" w:left="1353" w:hanging="36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запобігання корупції, хабарництву;</w:t>
      </w:r>
    </w:p>
    <w:p>
      <w:pPr>
        <w:numPr>
          <w:ilvl w:val="0"/>
          <w:numId w:val="13"/>
        </w:numPr>
        <w:spacing w:before="0" w:after="0" w:line="240"/>
        <w:ind w:right="0" w:left="1353"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дотримання вимог спеціальних законів щодо виконання правил академічної доброчесності та даного Положення, зокрема, посилання на джерела інформації у разі використання ідей, тверджень, відомостей;</w:t>
      </w:r>
    </w:p>
    <w:p>
      <w:pPr>
        <w:numPr>
          <w:ilvl w:val="0"/>
          <w:numId w:val="13"/>
        </w:numPr>
        <w:spacing w:before="0" w:after="0" w:line="240"/>
        <w:ind w:right="0" w:left="1353" w:hanging="36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дотримання норм про авторські права;</w:t>
      </w:r>
    </w:p>
    <w:p>
      <w:pPr>
        <w:numPr>
          <w:ilvl w:val="0"/>
          <w:numId w:val="13"/>
        </w:numPr>
        <w:spacing w:before="0" w:after="0" w:line="240"/>
        <w:ind w:right="0" w:left="1353"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надання правдивої інформації про результати власної навчальної </w:t>
      </w:r>
      <w:r>
        <w:rPr>
          <w:rFonts w:ascii="Times New Roman" w:hAnsi="Times New Roman" w:cs="Times New Roman" w:eastAsia="Times New Roman"/>
          <w:color w:val="000000"/>
          <w:spacing w:val="0"/>
          <w:position w:val="0"/>
          <w:sz w:val="28"/>
          <w:shd w:fill="auto" w:val="clear"/>
        </w:rPr>
        <w:t xml:space="preserve">(освітньої, наукової, творчої)</w:t>
      </w:r>
      <w:r>
        <w:rPr>
          <w:rFonts w:ascii="Times New Roman" w:hAnsi="Times New Roman" w:cs="Times New Roman" w:eastAsia="Times New Roman"/>
          <w:color w:val="auto"/>
          <w:spacing w:val="0"/>
          <w:position w:val="0"/>
          <w:sz w:val="28"/>
          <w:shd w:fill="auto" w:val="clear"/>
        </w:rPr>
        <w:t xml:space="preserve"> діяльності;</w:t>
      </w:r>
    </w:p>
    <w:p>
      <w:pPr>
        <w:numPr>
          <w:ilvl w:val="0"/>
          <w:numId w:val="13"/>
        </w:numPr>
        <w:spacing w:before="0" w:after="0" w:line="240"/>
        <w:ind w:right="0" w:left="1353"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невідворотності</w:t>
      </w:r>
      <w:r>
        <w:rPr>
          <w:rFonts w:ascii="Times New Roman" w:hAnsi="Times New Roman" w:cs="Times New Roman" w:eastAsia="Times New Roman"/>
          <w:color w:val="auto"/>
          <w:spacing w:val="0"/>
          <w:position w:val="0"/>
          <w:sz w:val="28"/>
          <w:shd w:fill="auto" w:val="clear"/>
        </w:rPr>
        <w:t xml:space="preserve"> відповідальності з підстав та в порядку, визначених відповідно Законом України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 освіту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 іншими спеціальними законами.</w:t>
      </w:r>
    </w:p>
    <w:p>
      <w:pPr>
        <w:spacing w:before="0" w:after="0" w:line="240"/>
        <w:ind w:right="0" w:left="1353"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3.2.</w:t>
      </w:r>
      <w:r>
        <w:rPr>
          <w:rFonts w:ascii="Times New Roman" w:hAnsi="Times New Roman" w:cs="Times New Roman" w:eastAsia="Times New Roman"/>
          <w:b/>
          <w:color w:val="auto"/>
          <w:spacing w:val="0"/>
          <w:position w:val="0"/>
          <w:sz w:val="28"/>
          <w:shd w:fill="auto" w:val="clear"/>
        </w:rPr>
        <w:t xml:space="preserve">здобувачами освіти шляхом:</w:t>
      </w:r>
    </w:p>
    <w:p>
      <w:pPr>
        <w:numPr>
          <w:ilvl w:val="0"/>
          <w:numId w:val="22"/>
        </w:numPr>
        <w:spacing w:before="0" w:after="0" w:line="240"/>
        <w:ind w:right="0" w:left="1353"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самостійного виконання навчальних завдань поточного та підсумкового контролю без використання зовнішніх джерел інформації, крім дозволених для використання, зокрема під час оцінювання результатів навчання (самостійні, контрольні, ДПА);</w:t>
      </w:r>
    </w:p>
    <w:p>
      <w:pPr>
        <w:numPr>
          <w:ilvl w:val="0"/>
          <w:numId w:val="22"/>
        </w:numPr>
        <w:spacing w:before="0" w:after="0" w:line="240"/>
        <w:ind w:right="0" w:left="1353"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самостійне подання щоденника для виставлення педагогом одержаних балів; </w:t>
      </w:r>
    </w:p>
    <w:p>
      <w:pPr>
        <w:numPr>
          <w:ilvl w:val="0"/>
          <w:numId w:val="22"/>
        </w:numPr>
        <w:spacing w:before="0" w:after="0" w:line="240"/>
        <w:ind w:right="0" w:left="1353"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надання достовірної інформації про власні результати навчання батькам (особам, які їх замінюють);</w:t>
      </w:r>
    </w:p>
    <w:p>
      <w:pPr>
        <w:numPr>
          <w:ilvl w:val="0"/>
          <w:numId w:val="22"/>
        </w:numPr>
        <w:spacing w:before="0" w:after="0" w:line="240"/>
        <w:ind w:right="0" w:left="1353"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дотримання правил культури зовнішнього вигляду;</w:t>
      </w:r>
    </w:p>
    <w:p>
      <w:pPr>
        <w:numPr>
          <w:ilvl w:val="0"/>
          <w:numId w:val="22"/>
        </w:numPr>
        <w:spacing w:before="0" w:after="0" w:line="240"/>
        <w:ind w:right="0" w:left="1353"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дотримання правил етики у спілкуванні з однолітками та дорослими;</w:t>
      </w:r>
    </w:p>
    <w:p>
      <w:pPr>
        <w:numPr>
          <w:ilvl w:val="0"/>
          <w:numId w:val="22"/>
        </w:numPr>
        <w:spacing w:before="0" w:after="0" w:line="240"/>
        <w:ind w:right="0" w:left="1353"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особистою присутністю на всіх заняттях, окрім випадків, викликаних поважними причинами.</w:t>
      </w:r>
    </w:p>
    <w:p>
      <w:pPr>
        <w:spacing w:before="0" w:after="0" w:line="240"/>
        <w:ind w:right="0" w:left="0" w:firstLine="737"/>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3.3.</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педагогічними працівниками шляхом:</w:t>
      </w:r>
    </w:p>
    <w:p>
      <w:pPr>
        <w:numPr>
          <w:ilvl w:val="0"/>
          <w:numId w:val="24"/>
        </w:numPr>
        <w:spacing w:before="0" w:after="0" w:line="240"/>
        <w:ind w:right="0" w:left="1428"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надання якісних освітніх послуг з використанням в практичній професійній діяльності інноваційних здобутків у галузі освіти;</w:t>
      </w:r>
    </w:p>
    <w:p>
      <w:pPr>
        <w:numPr>
          <w:ilvl w:val="0"/>
          <w:numId w:val="24"/>
        </w:numPr>
        <w:spacing w:before="0" w:after="0" w:line="240"/>
        <w:ind w:right="0" w:left="1428"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обов'язкової присутності, активної участі на засіданнях педагогічної ради та колегіальної відповідальності за прийняті управлінські рішення;</w:t>
      </w:r>
    </w:p>
    <w:p>
      <w:pPr>
        <w:numPr>
          <w:ilvl w:val="0"/>
          <w:numId w:val="24"/>
        </w:numPr>
        <w:spacing w:before="0" w:after="0" w:line="240"/>
        <w:ind w:right="0" w:left="1428"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незалежності професійної діяльності від політичних партій, громадських і релігійних організацій;</w:t>
      </w:r>
    </w:p>
    <w:p>
      <w:pPr>
        <w:numPr>
          <w:ilvl w:val="0"/>
          <w:numId w:val="24"/>
        </w:numPr>
        <w:spacing w:before="0" w:after="0" w:line="240"/>
        <w:ind w:right="0" w:left="1428"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підвищення професійного рівня шляхом саморозвитку і самовдосконалення та підвищення кваліфікації; </w:t>
      </w:r>
    </w:p>
    <w:p>
      <w:pPr>
        <w:numPr>
          <w:ilvl w:val="0"/>
          <w:numId w:val="24"/>
        </w:numPr>
        <w:spacing w:before="0" w:after="0" w:line="240"/>
        <w:ind w:right="0" w:left="1428"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дотримання правил внутрішнього розпорядку, трудової дисципліни, корпоративної етики;</w:t>
      </w:r>
    </w:p>
    <w:p>
      <w:pPr>
        <w:numPr>
          <w:ilvl w:val="0"/>
          <w:numId w:val="24"/>
        </w:numPr>
        <w:spacing w:before="0" w:after="0" w:line="240"/>
        <w:ind w:right="0" w:left="1428"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об’єктивного і неупередженого оцінювання результатів навчання здобувачів освіти;</w:t>
      </w:r>
    </w:p>
    <w:p>
      <w:pPr>
        <w:numPr>
          <w:ilvl w:val="0"/>
          <w:numId w:val="24"/>
        </w:numPr>
        <w:spacing w:before="0" w:after="0" w:line="240"/>
        <w:ind w:right="0" w:left="1428"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здійснення контролю за дотриманням академічної доброчесності здобувачами освіти; </w:t>
      </w:r>
    </w:p>
    <w:p>
      <w:pPr>
        <w:numPr>
          <w:ilvl w:val="0"/>
          <w:numId w:val="24"/>
        </w:numPr>
        <w:spacing w:before="0" w:after="0" w:line="240"/>
        <w:ind w:right="0" w:left="1428"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інформування</w:t>
      </w:r>
      <w:r>
        <w:rPr>
          <w:rFonts w:ascii="Times New Roman" w:hAnsi="Times New Roman" w:cs="Times New Roman" w:eastAsia="Times New Roman"/>
          <w:color w:val="auto"/>
          <w:spacing w:val="0"/>
          <w:position w:val="0"/>
          <w:sz w:val="28"/>
          <w:shd w:fill="auto" w:val="clear"/>
        </w:rPr>
        <w:t xml:space="preserve"> здобувачів освіти про типові порушення академічної доброчесності та види відповідальності за її порушення.</w:t>
      </w:r>
    </w:p>
    <w:p>
      <w:pPr>
        <w:spacing w:before="0" w:after="0" w:line="240"/>
        <w:ind w:right="0" w:left="0" w:firstLine="708"/>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III. </w:t>
      </w:r>
      <w:r>
        <w:rPr>
          <w:rFonts w:ascii="Times New Roman" w:hAnsi="Times New Roman" w:cs="Times New Roman" w:eastAsia="Times New Roman"/>
          <w:b/>
          <w:color w:val="auto"/>
          <w:spacing w:val="0"/>
          <w:position w:val="0"/>
          <w:sz w:val="28"/>
          <w:shd w:fill="auto" w:val="clear"/>
        </w:rPr>
        <w:t xml:space="preserve">Заходи з попередження, виявлення та встановлення фактів порушення педагогічної етики та академічної доброчесності</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При прийнятті на роботу працівник знайомиться з цим Положенням.</w:t>
      </w: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Положення оприлюднюється на сайті закладу.</w:t>
      </w:r>
    </w:p>
    <w:p>
      <w:pPr>
        <w:spacing w:before="0" w:after="0" w:line="240"/>
        <w:ind w:right="0" w:left="0" w:firstLine="709"/>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Заступник директора Закладу:</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забезпечує попередження порушень академічної доброчесності шляхом практикумів, консультацій та інших колективних та індивідуальних форм навчання з педагогічними працівниками щодо створення, оформлення ними методичних розробок (робіт) для публікацій;</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використовує у своїй діяльності (рецензування робіт на курси різного рівня, на присвоєння педагогічного звання) та рекомендує учителям сервіси безкоштовної перевірки робіт на антиплагіат.</w:t>
      </w:r>
    </w:p>
    <w:p>
      <w:pPr>
        <w:spacing w:before="0" w:after="0" w:line="240"/>
        <w:ind w:right="0" w:left="0" w:firstLine="708"/>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Педагогічні працівники в процесі своєї освітньої діяльності дотримуються етики та академічної доброчесності, умов цього Положення, проводять роз'яснювальну роботу із здобувачами освіти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IV. </w:t>
      </w:r>
      <w:r>
        <w:rPr>
          <w:rFonts w:ascii="Times New Roman" w:hAnsi="Times New Roman" w:cs="Times New Roman" w:eastAsia="Times New Roman"/>
          <w:b/>
          <w:color w:val="auto"/>
          <w:spacing w:val="0"/>
          <w:position w:val="0"/>
          <w:sz w:val="28"/>
          <w:shd w:fill="auto" w:val="clear"/>
        </w:rPr>
        <w:t xml:space="preserve">Види відповідальності за порушення академічної доброчесності</w:t>
      </w:r>
    </w:p>
    <w:p>
      <w:pPr>
        <w:numPr>
          <w:ilvl w:val="0"/>
          <w:numId w:val="32"/>
        </w:numPr>
        <w:spacing w:before="0" w:after="200" w:line="276"/>
        <w:ind w:right="0" w:left="720"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Види академічної відповідальності за конкретне порушення академічної доброчесності визначають спеціальні закони та дане Положення.</w:t>
      </w:r>
    </w:p>
    <w:tbl>
      <w:tblPr>
        <w:tblInd w:w="140" w:type="dxa"/>
      </w:tblPr>
      <w:tblGrid>
        <w:gridCol w:w="1728"/>
        <w:gridCol w:w="1804"/>
        <w:gridCol w:w="2429"/>
        <w:gridCol w:w="2103"/>
        <w:gridCol w:w="1907"/>
      </w:tblGrid>
      <w:tr>
        <w:trPr>
          <w:trHeight w:val="1015" w:hRule="auto"/>
          <w:jc w:val="left"/>
        </w:trPr>
        <w:tc>
          <w:tcPr>
            <w:tcW w:w="1728"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Порушення</w:t>
            </w: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академічної</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доброчесності</w:t>
            </w:r>
          </w:p>
        </w:tc>
        <w:tc>
          <w:tcPr>
            <w:tcW w:w="1804"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Суб’єкти</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порушення</w:t>
            </w:r>
          </w:p>
        </w:tc>
        <w:tc>
          <w:tcPr>
            <w:tcW w:w="2429"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Обставини та умови</w:t>
            </w: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порушення</w:t>
            </w: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академічної</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доброчесності</w:t>
            </w:r>
          </w:p>
        </w:tc>
        <w:tc>
          <w:tcPr>
            <w:tcW w:w="2103"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Наслідки і форма відповідальності</w:t>
            </w:r>
          </w:p>
        </w:tc>
        <w:tc>
          <w:tcPr>
            <w:tcW w:w="1907"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Орган/посадова особа, який приймає рішення про призначення виду</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відповідальності</w:t>
            </w:r>
          </w:p>
        </w:tc>
      </w:tr>
      <w:tr>
        <w:trPr>
          <w:trHeight w:val="2284" w:hRule="auto"/>
          <w:jc w:val="left"/>
        </w:trPr>
        <w:tc>
          <w:tcPr>
            <w:tcW w:w="1728" w:type="dxa"/>
            <w:vMerge w:val="restart"/>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Списування</w:t>
            </w:r>
          </w:p>
        </w:tc>
        <w:tc>
          <w:tcPr>
            <w:tcW w:w="1804" w:type="dxa"/>
            <w:vMerge w:val="restart"/>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Здобувачі освіти</w:t>
            </w:r>
          </w:p>
        </w:tc>
        <w:tc>
          <w:tcPr>
            <w:tcW w:w="2429" w:type="dxa"/>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самостійні роботи;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контрольні роботи;</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моніторинги якості знань</w:t>
            </w:r>
          </w:p>
        </w:tc>
        <w:tc>
          <w:tcPr>
            <w:tcW w:w="2103" w:type="dxa"/>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Повторне письмове проходження оцінювання Термін - 1 тиждень або повторне проходження відповідного освітнього компонента освітньої програми</w:t>
            </w:r>
          </w:p>
        </w:tc>
        <w:tc>
          <w:tcPr>
            <w:tcW w:w="1907" w:type="dxa"/>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Учителі-предметники</w:t>
            </w:r>
          </w:p>
        </w:tc>
      </w:tr>
      <w:tr>
        <w:trPr>
          <w:trHeight w:val="498" w:hRule="auto"/>
          <w:jc w:val="left"/>
        </w:trPr>
        <w:tc>
          <w:tcPr>
            <w:tcW w:w="1728" w:type="dxa"/>
            <w:vMerge/>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04" w:type="dxa"/>
            <w:vMerge/>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29" w:type="dxa"/>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Державна підсумкова атестація</w:t>
            </w:r>
          </w:p>
        </w:tc>
        <w:tc>
          <w:tcPr>
            <w:tcW w:w="2103" w:type="dxa"/>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Повторне проходження ДПА</w:t>
            </w:r>
          </w:p>
        </w:tc>
        <w:tc>
          <w:tcPr>
            <w:tcW w:w="1907" w:type="dxa"/>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Державна атестаційна</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комісія</w:t>
            </w:r>
          </w:p>
        </w:tc>
      </w:tr>
      <w:tr>
        <w:trPr>
          <w:trHeight w:val="239" w:hRule="auto"/>
          <w:jc w:val="left"/>
        </w:trPr>
        <w:tc>
          <w:tcPr>
            <w:tcW w:w="1728" w:type="dxa"/>
            <w:vMerge/>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04" w:type="dxa"/>
            <w:vMerge/>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29" w:type="dxa"/>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І етап (шкільний) Всеукраїнських учнівських олімпіад, конкурсів</w:t>
            </w:r>
          </w:p>
        </w:tc>
        <w:tc>
          <w:tcPr>
            <w:tcW w:w="2103" w:type="dxa"/>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Робота учасника анулюється, не оцінюється. У разі повторних випадків списування учасник не допускається до участі в інших олімпіадах, конкурсах</w:t>
            </w:r>
          </w:p>
        </w:tc>
        <w:tc>
          <w:tcPr>
            <w:tcW w:w="1907" w:type="dxa"/>
            <w:tcBorders>
              <w:top w:val="single" w:color="00000a" w:sz="4"/>
              <w:left w:val="single" w:color="00000a" w:sz="4"/>
              <w:bottom w:val="single" w:color="00000a" w:sz="4"/>
              <w:right w:val="single" w:color="00000a" w:sz="4"/>
            </w:tcBorders>
            <w:shd w:color="auto" w:fill="auto" w:val="clear"/>
            <w:tcMar>
              <w:left w:w="54" w:type="dxa"/>
              <w:right w:w="54" w:type="dxa"/>
            </w:tcMar>
            <w:vAlign w:val="center"/>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Оргкомітет, журі</w:t>
            </w:r>
          </w:p>
        </w:tc>
      </w:tr>
      <w:tr>
        <w:trPr>
          <w:trHeight w:val="1328" w:hRule="auto"/>
          <w:jc w:val="left"/>
        </w:trPr>
        <w:tc>
          <w:tcPr>
            <w:tcW w:w="1728"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Необ'єктивне оцінювання</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результатів</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навчання</w:t>
            </w:r>
          </w:p>
          <w:p>
            <w:pPr>
              <w:spacing w:before="0" w:after="0" w:line="276"/>
              <w:ind w:right="0" w:left="142"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здобувачів освіти</w:t>
            </w:r>
          </w:p>
        </w:tc>
        <w:tc>
          <w:tcPr>
            <w:tcW w:w="1804"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76"/>
              <w:ind w:right="0" w:left="142"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Педагогічні працівники</w:t>
            </w:r>
          </w:p>
        </w:tc>
        <w:tc>
          <w:tcPr>
            <w:tcW w:w="2429"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Свідоме завищення або</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заниження оцінки результатів навчання: </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усні відповіді;</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домашні роботи;</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контрольні роботи;</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лабораторні та практичні роботи:</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ДПА;</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тематичне оцінювання; </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моніторинги; </w:t>
            </w:r>
          </w:p>
          <w:p>
            <w:pPr>
              <w:spacing w:before="0" w:after="0" w:line="276"/>
              <w:ind w:right="0" w:left="142"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олімпіадні та конкурсні роботи</w:t>
            </w:r>
          </w:p>
        </w:tc>
        <w:tc>
          <w:tcPr>
            <w:tcW w:w="2103"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76"/>
              <w:ind w:right="0" w:left="142" w:firstLine="0"/>
              <w:jc w:val="left"/>
              <w:rPr>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Педагогічному працівнику рекомендується опрацювати критерії оцінювання навчальних </w:t>
            </w:r>
            <w:r>
              <w:rPr>
                <w:rFonts w:ascii="Times New Roman" w:hAnsi="Times New Roman" w:cs="Times New Roman" w:eastAsia="Times New Roman"/>
                <w:color w:val="000000"/>
                <w:spacing w:val="0"/>
                <w:position w:val="0"/>
                <w:sz w:val="24"/>
                <w:shd w:fill="auto" w:val="clear"/>
              </w:rPr>
              <w:t xml:space="preserve">досягнень.</w:t>
            </w:r>
            <w:r>
              <w:rPr>
                <w:rFonts w:ascii="Times New Roman" w:hAnsi="Times New Roman" w:cs="Times New Roman" w:eastAsia="Times New Roman"/>
                <w:color w:val="auto"/>
                <w:spacing w:val="0"/>
                <w:position w:val="0"/>
                <w:sz w:val="24"/>
                <w:shd w:fill="auto" w:val="clear"/>
              </w:rPr>
              <w:t xml:space="preserve"> Факти систематичних порушень враховуються при встановленні кваліфікаційної категорії, присвоєнні педагогічних звань</w:t>
            </w:r>
          </w:p>
        </w:tc>
        <w:tc>
          <w:tcPr>
            <w:tcW w:w="1907"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Адміністрація</w:t>
            </w:r>
          </w:p>
          <w:p>
            <w:pPr>
              <w:spacing w:before="0" w:after="0" w:line="276"/>
              <w:ind w:right="0" w:left="14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закладу,</w:t>
            </w:r>
          </w:p>
          <w:p>
            <w:pPr>
              <w:spacing w:before="0" w:after="0" w:line="276"/>
              <w:ind w:right="0" w:left="142"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атестаційні комісії усіх рівнів</w:t>
            </w:r>
          </w:p>
        </w:tc>
      </w:tr>
      <w:tr>
        <w:trPr>
          <w:trHeight w:val="1328" w:hRule="auto"/>
          <w:jc w:val="left"/>
        </w:trPr>
        <w:tc>
          <w:tcPr>
            <w:tcW w:w="1728"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Обман: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Фальсифікація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Фабрикація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Плагіат</w:t>
            </w:r>
          </w:p>
          <w:p>
            <w:pPr>
              <w:spacing w:before="0" w:after="0" w:line="240"/>
              <w:ind w:right="0" w:left="0" w:firstLine="0"/>
              <w:jc w:val="left"/>
              <w:rPr>
                <w:color w:val="auto"/>
                <w:spacing w:val="0"/>
                <w:position w:val="0"/>
                <w:shd w:fill="auto" w:val="clear"/>
              </w:rPr>
            </w:pPr>
          </w:p>
        </w:tc>
        <w:tc>
          <w:tcPr>
            <w:tcW w:w="1804"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Педагогічні працівники як автори</w:t>
            </w:r>
          </w:p>
        </w:tc>
        <w:tc>
          <w:tcPr>
            <w:tcW w:w="2429"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Навчально-методичні освітні продукти, створені педагогічними працівниками: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методичні рекомендації;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навчальний посібник;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навчально-методичний посібник;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наочний посібник;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практичний посібник;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навчальний наочний посібник;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збірка;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методична збірка;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методичний вісник;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стаття;</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методична розробка</w:t>
            </w:r>
          </w:p>
        </w:tc>
        <w:tc>
          <w:tcPr>
            <w:tcW w:w="2103"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Встановлення порушень такого порядку як спотворене представлення у методичних розробках, публікаціях чужих розробок, ідей, синтезу або компіляції чужих джерел, використання Інтернету без посилань, фальсифікація наукових досліджень, неправдива інформація про власну освітню діяльність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є підставою для відмови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присвоєнні або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позбавлені раніше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присвоєного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педагогічного звання,</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кваліфікаційної категорії</w:t>
            </w:r>
          </w:p>
        </w:tc>
        <w:tc>
          <w:tcPr>
            <w:tcW w:w="1907" w:type="dxa"/>
            <w:tcBorders>
              <w:top w:val="single" w:color="00000a" w:sz="4"/>
              <w:left w:val="single" w:color="00000a" w:sz="4"/>
              <w:bottom w:val="single" w:color="00000a" w:sz="4"/>
              <w:right w:val="single" w:color="00000a" w:sz="4"/>
            </w:tcBorders>
            <w:shd w:color="auto" w:fill="auto" w:val="clear"/>
            <w:tcMar>
              <w:left w:w="54" w:type="dxa"/>
              <w:right w:w="5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Педагогічна та методичні ради Закладу,  атестаційна  комісія </w:t>
            </w:r>
          </w:p>
        </w:tc>
      </w:tr>
    </w:tbl>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 </w:t>
      </w:r>
      <w:r>
        <w:rPr>
          <w:rFonts w:ascii="Times New Roman" w:hAnsi="Times New Roman" w:cs="Times New Roman" w:eastAsia="Times New Roman"/>
          <w:b/>
          <w:color w:val="auto"/>
          <w:spacing w:val="0"/>
          <w:position w:val="0"/>
          <w:sz w:val="28"/>
          <w:shd w:fill="auto" w:val="clear"/>
        </w:rPr>
        <w:t xml:space="preserve">Виявлення порушень академічної доброчесності</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Виявлення порушень академічної доброчесності в закладі освіти здійснюється наступним чином:  особа, яка виявила порушення академічної доброчесності педагогічним працівником, має право звернутися до керівника закладу освіти з усною чи письмовою заявою. Заява щодо зазначеного порушення розглядається на засіданні педагогічної ради, яка ухвалює рішення про притягнення до академічної відповідальності (за погодження з уповноваженою особою від трудового колективу).</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 </w:t>
      </w:r>
      <w:r>
        <w:rPr>
          <w:rFonts w:ascii="Times New Roman" w:hAnsi="Times New Roman" w:cs="Times New Roman" w:eastAsia="Times New Roman"/>
          <w:b/>
          <w:color w:val="auto"/>
          <w:spacing w:val="0"/>
          <w:position w:val="0"/>
          <w:sz w:val="28"/>
          <w:shd w:fill="auto" w:val="clear"/>
        </w:rPr>
        <w:t xml:space="preserve">Прикінцеві положення</w:t>
      </w:r>
    </w:p>
    <w:p>
      <w:pPr>
        <w:spacing w:before="0" w:after="200" w:line="276"/>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Прийняття принципів і норм Положення засвідчується підписами членів педагогічного колективу. Положення про академічну доброчесність закладом освіти схвалюється педагогічною радою та вводиться в дію наказом керівника. Зміни та доповнення до Положення можуть бути внесені будь-яким учасником освітнього процесу за поданням до педагогічної ради закладу освіти.</w:t>
      </w:r>
    </w:p>
    <w:p>
      <w:pPr>
        <w:spacing w:before="0" w:after="200" w:line="276"/>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200" w:line="276"/>
        <w:ind w:right="0" w:left="0" w:firstLine="709"/>
        <w:jc w:val="both"/>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 Положенням ознайомлені:</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Стукало Т.В.</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Вязовцева Л.Д.</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Прудивус Б.А.</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Токар І.В.</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Булах Т.В.</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Федченко О.М.</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Токар Н.П.</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Пєкарєва Н.В.</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Чубукова К.В.</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Чубукова В.М.</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Вонсовська Т.В.</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Коноваленко І.М.</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Купріян Ю.М.</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13">
    <w:abstractNumId w:val="18"/>
  </w:num>
  <w:num w:numId="22">
    <w:abstractNumId w:val="12"/>
  </w:num>
  <w:num w:numId="24">
    <w:abstractNumId w:val="6"/>
  </w:num>
  <w:num w:numId="3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